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Pr>
      <w:r>
        <w:t>窗体顶端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left"/>
        <w:rPr>
          <w:rFonts w:ascii="����" w:hAnsi="����" w:eastAsia="����" w:cs="����"/>
          <w:b w:val="0"/>
          <w:i w:val="0"/>
          <w:caps w:val="0"/>
          <w:color w:val="FFFFFF"/>
          <w:spacing w:val="0"/>
          <w:sz w:val="22"/>
          <w:szCs w:val="22"/>
        </w:rPr>
      </w:pPr>
      <w:r>
        <w:rPr>
          <w:rFonts w:hint="default" w:ascii="����" w:hAnsi="����" w:eastAsia="����" w:cs="����"/>
          <w:b w:val="0"/>
          <w:i w:val="0"/>
          <w:caps w:val="0"/>
          <w:color w:val="FFFFFF"/>
          <w:spacing w:val="0"/>
          <w:kern w:val="0"/>
          <w:sz w:val="22"/>
          <w:szCs w:val="22"/>
          <w:lang w:val="en-US" w:eastAsia="zh-CN" w:bidi="ar"/>
        </w:rPr>
        <w:t> 2020年2月27日 星期四 </w:t>
      </w:r>
      <w:r>
        <w:rPr>
          <w:rFonts w:hint="default" w:ascii="����" w:hAnsi="����" w:eastAsia="����" w:cs="����"/>
          <w:b w:val="0"/>
          <w:i w:val="0"/>
          <w:caps w:val="0"/>
          <w:color w:val="F0F8FF"/>
          <w:spacing w:val="0"/>
          <w:kern w:val="0"/>
          <w:sz w:val="22"/>
          <w:szCs w:val="22"/>
          <w:u w:val="none"/>
          <w:lang w:val="en-US" w:eastAsia="zh-CN" w:bidi="ar"/>
        </w:rPr>
        <w:fldChar w:fldCharType="begin"/>
      </w:r>
      <w:r>
        <w:rPr>
          <w:rFonts w:hint="default" w:ascii="����" w:hAnsi="����" w:eastAsia="����" w:cs="����"/>
          <w:b w:val="0"/>
          <w:i w:val="0"/>
          <w:caps w:val="0"/>
          <w:color w:val="F0F8FF"/>
          <w:spacing w:val="0"/>
          <w:kern w:val="0"/>
          <w:sz w:val="22"/>
          <w:szCs w:val="22"/>
          <w:u w:val="none"/>
          <w:lang w:val="en-US" w:eastAsia="zh-CN" w:bidi="ar"/>
        </w:rPr>
        <w:instrText xml:space="preserve"> HYPERLINK "https://mail.gxcic.net:6443/" </w:instrText>
      </w:r>
      <w:r>
        <w:rPr>
          <w:rFonts w:hint="default" w:ascii="����" w:hAnsi="����" w:eastAsia="����" w:cs="����"/>
          <w:b w:val="0"/>
          <w:i w:val="0"/>
          <w:caps w:val="0"/>
          <w:color w:val="F0F8FF"/>
          <w:spacing w:val="0"/>
          <w:kern w:val="0"/>
          <w:sz w:val="22"/>
          <w:szCs w:val="22"/>
          <w:u w:val="none"/>
          <w:lang w:val="en-US" w:eastAsia="zh-CN" w:bidi="ar"/>
        </w:rPr>
        <w:fldChar w:fldCharType="separate"/>
      </w:r>
      <w:r>
        <w:rPr>
          <w:rStyle w:val="7"/>
          <w:rFonts w:hint="default" w:ascii="����" w:hAnsi="����" w:eastAsia="����" w:cs="����"/>
          <w:b w:val="0"/>
          <w:i w:val="0"/>
          <w:caps w:val="0"/>
          <w:color w:val="F0F8FF"/>
          <w:spacing w:val="0"/>
          <w:sz w:val="22"/>
          <w:szCs w:val="22"/>
          <w:u w:val="none"/>
        </w:rPr>
        <w:t>电子邮箱</w:t>
      </w:r>
      <w:r>
        <w:rPr>
          <w:rFonts w:hint="default" w:ascii="����" w:hAnsi="����" w:eastAsia="����" w:cs="����"/>
          <w:b w:val="0"/>
          <w:i w:val="0"/>
          <w:caps w:val="0"/>
          <w:color w:val="F0F8FF"/>
          <w:spacing w:val="0"/>
          <w:kern w:val="0"/>
          <w:sz w:val="22"/>
          <w:szCs w:val="22"/>
          <w:u w:val="non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 w:hAnsi="����" w:eastAsia="����" w:cs="����"/>
          <w:b w:val="0"/>
          <w:i w:val="0"/>
          <w:caps w:val="0"/>
          <w:color w:val="000000"/>
          <w:spacing w:val="0"/>
          <w:sz w:val="22"/>
          <w:szCs w:val="22"/>
        </w:rPr>
      </w:pPr>
      <w:r>
        <w:rPr>
          <w:rFonts w:hint="default" w:ascii="����" w:hAnsi="����" w:eastAsia="����" w:cs="����"/>
          <w:b w:val="0"/>
          <w:i w:val="0"/>
          <w:caps w:val="0"/>
          <w:color w:val="000000"/>
          <w:spacing w:val="0"/>
          <w:kern w:val="0"/>
          <w:sz w:val="22"/>
          <w:szCs w:val="22"/>
          <w:u w:val="none"/>
          <w:lang w:val="en-US" w:eastAsia="zh-CN" w:bidi="ar"/>
        </w:rPr>
        <w:fldChar w:fldCharType="begin"/>
      </w:r>
      <w:r>
        <w:rPr>
          <w:rFonts w:hint="default" w:ascii="����" w:hAnsi="����" w:eastAsia="����" w:cs="����"/>
          <w:b w:val="0"/>
          <w:i w:val="0"/>
          <w:caps w:val="0"/>
          <w:color w:val="000000"/>
          <w:spacing w:val="0"/>
          <w:kern w:val="0"/>
          <w:sz w:val="22"/>
          <w:szCs w:val="22"/>
          <w:u w:val="none"/>
          <w:lang w:val="en-US" w:eastAsia="zh-CN" w:bidi="ar"/>
        </w:rPr>
        <w:instrText xml:space="preserve"> HYPERLINK "http://www.gxcic.net/" </w:instrText>
      </w:r>
      <w:r>
        <w:rPr>
          <w:rFonts w:hint="default" w:ascii="����" w:hAnsi="����" w:eastAsia="����" w:cs="����"/>
          <w:b w:val="0"/>
          <w:i w:val="0"/>
          <w:caps w:val="0"/>
          <w:color w:val="000000"/>
          <w:spacing w:val="0"/>
          <w:kern w:val="0"/>
          <w:sz w:val="22"/>
          <w:szCs w:val="22"/>
          <w:u w:val="none"/>
          <w:lang w:val="en-US" w:eastAsia="zh-CN" w:bidi="ar"/>
        </w:rPr>
        <w:fldChar w:fldCharType="separate"/>
      </w:r>
      <w:r>
        <w:rPr>
          <w:rFonts w:hint="default" w:ascii="����" w:hAnsi="����" w:eastAsia="����" w:cs="����"/>
          <w:b w:val="0"/>
          <w:i w:val="0"/>
          <w:caps w:val="0"/>
          <w:color w:val="000000"/>
          <w:spacing w:val="0"/>
          <w:kern w:val="0"/>
          <w:sz w:val="22"/>
          <w:szCs w:val="22"/>
          <w:u w:val="none"/>
          <w:lang w:val="en-US" w:eastAsia="zh-CN" w:bidi="ar"/>
        </w:rPr>
        <w:fldChar w:fldCharType="end"/>
      </w:r>
      <w:r>
        <w:rPr>
          <w:rFonts w:hint="default" w:ascii="����" w:hAnsi="����" w:eastAsia="����" w:cs="����"/>
          <w:b w:val="0"/>
          <w:i w:val="0"/>
          <w:caps w:val="0"/>
          <w:color w:val="000000"/>
          <w:spacing w:val="0"/>
          <w:kern w:val="0"/>
          <w:sz w:val="22"/>
          <w:szCs w:val="22"/>
          <w:u w:val="none"/>
          <w:lang w:val="en-US" w:eastAsia="zh-CN" w:bidi="ar"/>
        </w:rPr>
        <w:fldChar w:fldCharType="begin"/>
      </w:r>
      <w:r>
        <w:rPr>
          <w:rFonts w:hint="default" w:ascii="����" w:hAnsi="����" w:eastAsia="����" w:cs="����"/>
          <w:b w:val="0"/>
          <w:i w:val="0"/>
          <w:caps w:val="0"/>
          <w:color w:val="000000"/>
          <w:spacing w:val="0"/>
          <w:kern w:val="0"/>
          <w:sz w:val="22"/>
          <w:szCs w:val="22"/>
          <w:u w:val="none"/>
          <w:lang w:val="en-US" w:eastAsia="zh-CN" w:bidi="ar"/>
        </w:rPr>
        <w:instrText xml:space="preserve"> HYPERLINK "http://zjt.gxzf.gov.cn/" </w:instrText>
      </w:r>
      <w:r>
        <w:rPr>
          <w:rFonts w:hint="default" w:ascii="����" w:hAnsi="����" w:eastAsia="����" w:cs="����"/>
          <w:b w:val="0"/>
          <w:i w:val="0"/>
          <w:caps w:val="0"/>
          <w:color w:val="000000"/>
          <w:spacing w:val="0"/>
          <w:kern w:val="0"/>
          <w:sz w:val="22"/>
          <w:szCs w:val="22"/>
          <w:u w:val="none"/>
          <w:lang w:val="en-US" w:eastAsia="zh-CN" w:bidi="ar"/>
        </w:rPr>
        <w:fldChar w:fldCharType="separate"/>
      </w:r>
      <w:r>
        <w:rPr>
          <w:rFonts w:hint="default" w:ascii="����" w:hAnsi="����" w:eastAsia="����" w:cs="����"/>
          <w:b w:val="0"/>
          <w:i w:val="0"/>
          <w:caps w:val="0"/>
          <w:color w:val="000000"/>
          <w:spacing w:val="0"/>
          <w:kern w:val="0"/>
          <w:sz w:val="22"/>
          <w:szCs w:val="22"/>
          <w:u w:val="none"/>
          <w:lang w:val="en-US" w:eastAsia="zh-CN" w:bidi="ar"/>
        </w:rPr>
        <w:fldChar w:fldCharType="end"/>
      </w:r>
    </w:p>
    <w:tbl>
      <w:tblPr>
        <w:tblStyle w:val="4"/>
        <w:tblW w:w="5000" w:type="pct"/>
        <w:jc w:val="center"/>
        <w:tblCellSpacing w:w="0" w:type="dxa"/>
        <w:shd w:val="clear" w:color="auto" w:fill="auto"/>
        <w:tblLayout w:type="autofit"/>
        <w:tblCellMar>
          <w:top w:w="0" w:type="dxa"/>
          <w:left w:w="0" w:type="dxa"/>
          <w:bottom w:w="0" w:type="dxa"/>
          <w:right w:w="0" w:type="dxa"/>
        </w:tblCellMar>
      </w:tblPr>
      <w:tblGrid>
        <w:gridCol w:w="8306"/>
      </w:tblGrid>
      <w:tr>
        <w:tblPrEx>
          <w:shd w:val="clear" w:color="auto" w:fill="auto"/>
          <w:tblCellMar>
            <w:top w:w="0" w:type="dxa"/>
            <w:left w:w="0" w:type="dxa"/>
            <w:bottom w:w="0" w:type="dxa"/>
            <w:right w:w="0" w:type="dxa"/>
          </w:tblCellMar>
        </w:tblPrEx>
        <w:trPr>
          <w:trHeight w:val="900" w:hRule="atLeast"/>
          <w:tblCellSpacing w:w="0" w:type="dxa"/>
          <w:jc w:val="center"/>
        </w:trPr>
        <w:tc>
          <w:tcPr>
            <w:tcW w:w="0" w:type="auto"/>
            <w:tcBorders>
              <w:bottom w:val="single" w:color="CCCCCC" w:sz="6"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ascii="宋体" w:hAnsi="宋体" w:eastAsia="宋体" w:cs="宋体"/>
                <w:color w:val="000000"/>
                <w:kern w:val="0"/>
                <w:sz w:val="30"/>
                <w:szCs w:val="30"/>
                <w:lang w:val="en-US" w:eastAsia="zh-CN" w:bidi="ar"/>
              </w:rPr>
            </w:pPr>
            <w:r>
              <w:rPr>
                <w:rStyle w:val="6"/>
                <w:rFonts w:ascii="宋体" w:hAnsi="宋体" w:eastAsia="宋体" w:cs="宋体"/>
                <w:color w:val="000000"/>
                <w:kern w:val="0"/>
                <w:sz w:val="30"/>
                <w:szCs w:val="30"/>
                <w:lang w:val="en-US" w:eastAsia="zh-CN" w:bidi="ar"/>
              </w:rPr>
              <w:t>自治区住房城乡建设厅关于印发全区住房城乡建设行业坚决支持打赢疫情防控阻击战促进经济稳增长的若干措施的通知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Style w:val="6"/>
                <w:rFonts w:ascii="宋体" w:hAnsi="宋体" w:eastAsia="宋体" w:cs="宋体"/>
                <w:color w:val="000000"/>
                <w:kern w:val="0"/>
                <w:sz w:val="30"/>
                <w:szCs w:val="30"/>
                <w:lang w:val="en-US" w:eastAsia="zh-CN" w:bidi="ar"/>
              </w:rPr>
              <w:t>(桂建发〔2020〕2号)</w:t>
            </w:r>
          </w:p>
        </w:tc>
      </w:tr>
    </w:tbl>
    <w:p>
      <w:pPr>
        <w:rPr>
          <w:vanish/>
          <w:sz w:val="24"/>
          <w:szCs w:val="24"/>
        </w:rPr>
      </w:pPr>
    </w:p>
    <w:tbl>
      <w:tblPr>
        <w:tblStyle w:val="4"/>
        <w:tblW w:w="4850" w:type="pct"/>
        <w:jc w:val="center"/>
        <w:tblCellSpacing w:w="15" w:type="dxa"/>
        <w:shd w:val="clear" w:color="auto" w:fill="auto"/>
        <w:tblLayout w:type="autofit"/>
        <w:tblCellMar>
          <w:top w:w="0" w:type="dxa"/>
          <w:left w:w="0" w:type="dxa"/>
          <w:bottom w:w="0" w:type="dxa"/>
          <w:right w:w="0" w:type="dxa"/>
        </w:tblCellMar>
      </w:tblPr>
      <w:tblGrid>
        <w:gridCol w:w="8115"/>
      </w:tblGrid>
      <w:tr>
        <w:tblPrEx>
          <w:shd w:val="clear" w:color="auto" w:fill="auto"/>
          <w:tblCellMar>
            <w:top w:w="0" w:type="dxa"/>
            <w:left w:w="0" w:type="dxa"/>
            <w:bottom w:w="0" w:type="dxa"/>
            <w:right w:w="0" w:type="dxa"/>
          </w:tblCellMar>
        </w:tblPrEx>
        <w:trPr>
          <w:tblCellSpacing w:w="15" w:type="dxa"/>
          <w:jc w:val="center"/>
        </w:trPr>
        <w:tc>
          <w:tcPr>
            <w:tcW w:w="0" w:type="auto"/>
            <w:shd w:val="clear" w:color="auto" w:fill="FFFFFF"/>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r>
              <w:rPr>
                <w:rFonts w:ascii="方正仿宋_GBK" w:hAnsi="方正仿宋_GBK" w:eastAsia="方正仿宋_GBK" w:cs="方正仿宋_GBK"/>
                <w:kern w:val="0"/>
                <w:sz w:val="24"/>
                <w:szCs w:val="24"/>
                <w:lang w:val="en-US" w:eastAsia="zh-CN" w:bidi="ar"/>
              </w:rPr>
              <w:t>各市、县住房城乡建设局、城管局（委），南宁市市政和园林局，柳州市、桂林市林业和园林局，北海市综合行政执法局、市政局，崇左市城乡综合执法局，玉林市园林服务中心，各住房公积金管理中心（分中心），厅机关各处室，厅属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40"/>
              <w:jc w:val="left"/>
              <w:rPr>
                <w:sz w:val="24"/>
                <w:szCs w:val="24"/>
              </w:rPr>
            </w:pPr>
            <w:r>
              <w:rPr>
                <w:rFonts w:hint="default" w:ascii="方正仿宋_GBK" w:hAnsi="方正仿宋_GBK" w:eastAsia="方正仿宋_GBK" w:cs="方正仿宋_GBK"/>
                <w:kern w:val="0"/>
                <w:sz w:val="24"/>
                <w:szCs w:val="24"/>
                <w:lang w:val="en-US" w:eastAsia="zh-CN" w:bidi="ar"/>
              </w:rPr>
              <w:t>现将《全区住房城乡建设行业坚决支持打赢疫情防控阻击战促进经济稳增长的若干措施》印发给你们，请认真贯彻执行。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left"/>
              <w:rPr>
                <w:sz w:val="24"/>
                <w:szCs w:val="24"/>
              </w:rPr>
            </w:pPr>
            <w:r>
              <w:rPr>
                <w:rFonts w:hint="default" w:ascii="Times New Roman" w:hAnsi="Times New Roman" w:cs="Times New Roman" w:eastAsiaTheme="minorEastAsia"/>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right"/>
              <w:rPr>
                <w:sz w:val="24"/>
                <w:szCs w:val="24"/>
              </w:rPr>
            </w:pPr>
            <w:r>
              <w:rPr>
                <w:rFonts w:hint="default" w:ascii="方正仿宋_GBK" w:hAnsi="方正仿宋_GBK" w:eastAsia="方正仿宋_GBK" w:cs="方正仿宋_GBK"/>
                <w:kern w:val="0"/>
                <w:sz w:val="24"/>
                <w:szCs w:val="24"/>
                <w:lang w:val="en-US" w:eastAsia="zh-CN" w:bidi="ar"/>
              </w:rPr>
              <w:t>广西壮族自治区住房和城乡建设厅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200" w:firstLine="640"/>
              <w:jc w:val="right"/>
              <w:rPr>
                <w:sz w:val="24"/>
                <w:szCs w:val="24"/>
              </w:rPr>
            </w:pPr>
            <w:r>
              <w:rPr>
                <w:rFonts w:hint="default" w:ascii="Times New Roman" w:hAnsi="Times New Roman" w:cs="Times New Roman" w:eastAsiaTheme="minorEastAsia"/>
                <w:kern w:val="0"/>
                <w:sz w:val="24"/>
                <w:szCs w:val="24"/>
                <w:lang w:val="en-US" w:eastAsia="zh-CN" w:bidi="ar"/>
              </w:rPr>
              <w:t>20</w:t>
            </w:r>
            <w:r>
              <w:rPr>
                <w:rFonts w:hint="eastAsia" w:ascii="宋体" w:hAnsi="宋体" w:eastAsia="宋体" w:cs="宋体"/>
                <w:kern w:val="0"/>
                <w:sz w:val="24"/>
                <w:szCs w:val="24"/>
                <w:lang w:val="en-US" w:eastAsia="zh-CN" w:bidi="ar"/>
              </w:rPr>
              <w:t>20</w:t>
            </w:r>
            <w:r>
              <w:rPr>
                <w:rFonts w:hint="default" w:ascii="方正仿宋_GBK" w:hAnsi="方正仿宋_GBK" w:eastAsia="方正仿宋_GBK" w:cs="方正仿宋_GBK"/>
                <w:kern w:val="0"/>
                <w:sz w:val="24"/>
                <w:szCs w:val="24"/>
                <w:lang w:val="en-US" w:eastAsia="zh-CN" w:bidi="ar"/>
              </w:rPr>
              <w:t>年</w:t>
            </w:r>
            <w:r>
              <w:rPr>
                <w:rFonts w:hint="eastAsia" w:ascii="宋体" w:hAnsi="宋体" w:eastAsia="宋体" w:cs="宋体"/>
                <w:kern w:val="0"/>
                <w:sz w:val="24"/>
                <w:szCs w:val="24"/>
                <w:lang w:val="en-US" w:eastAsia="zh-CN" w:bidi="ar"/>
              </w:rPr>
              <w:t>2</w:t>
            </w:r>
            <w:r>
              <w:rPr>
                <w:rFonts w:hint="default" w:ascii="方正仿宋_GBK" w:hAnsi="方正仿宋_GBK" w:eastAsia="方正仿宋_GBK" w:cs="方正仿宋_GBK"/>
                <w:kern w:val="0"/>
                <w:sz w:val="24"/>
                <w:szCs w:val="24"/>
                <w:lang w:val="en-US" w:eastAsia="zh-CN" w:bidi="ar"/>
              </w:rPr>
              <w:t>月</w:t>
            </w:r>
            <w:r>
              <w:rPr>
                <w:rFonts w:hint="eastAsia" w:ascii="宋体" w:hAnsi="宋体" w:eastAsia="宋体" w:cs="宋体"/>
                <w:kern w:val="0"/>
                <w:sz w:val="24"/>
                <w:szCs w:val="24"/>
                <w:lang w:val="en-US" w:eastAsia="zh-CN" w:bidi="ar"/>
              </w:rPr>
              <w:t>21</w:t>
            </w:r>
            <w:r>
              <w:rPr>
                <w:rFonts w:hint="default" w:ascii="方正仿宋_GBK" w:hAnsi="方正仿宋_GBK" w:eastAsia="方正仿宋_GBK" w:cs="方正仿宋_GBK"/>
                <w:kern w:val="0"/>
                <w:sz w:val="24"/>
                <w:szCs w:val="24"/>
                <w:lang w:val="en-US" w:eastAsia="zh-CN" w:bidi="ar"/>
              </w:rPr>
              <w:t>日</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276" w:firstLine="640"/>
              <w:jc w:val="left"/>
              <w:rPr>
                <w:rFonts w:ascii="方正小标宋_GBK" w:hAnsi="方正小标宋_GBK" w:eastAsia="方正小标宋_GBK" w:cs="方正小标宋_GBK"/>
                <w:kern w:val="0"/>
                <w:sz w:val="24"/>
                <w:szCs w:val="24"/>
                <w:lang w:val="en-US" w:eastAsia="zh-CN" w:bidi="ar"/>
              </w:rPr>
            </w:pPr>
            <w:r>
              <w:rPr>
                <w:rFonts w:asciiTheme="minorHAnsi" w:hAnsiTheme="minorHAnsi" w:eastAsiaTheme="minorEastAsia" w:cstheme="minorBidi"/>
                <w:kern w:val="0"/>
                <w:sz w:val="24"/>
                <w:szCs w:val="24"/>
                <w:lang w:val="en-US" w:eastAsia="zh-CN" w:bidi="ar"/>
              </w:rPr>
              <w:t> </w:t>
            </w:r>
            <w:r>
              <w:rPr>
                <w:rFonts w:ascii="方正小标宋_GBK" w:hAnsi="方正小标宋_GBK" w:eastAsia="方正小标宋_GBK" w:cs="方正小标宋_GBK"/>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276" w:firstLine="640"/>
              <w:jc w:val="left"/>
              <w:rPr>
                <w:rFonts w:ascii="方正小标宋_GBK" w:hAnsi="方正小标宋_GBK" w:eastAsia="方正小标宋_GBK" w:cs="方正小标宋_GBK"/>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全区住房城乡建设行业坚决支持打赢疫情防控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宋体" w:hAnsi="宋体" w:eastAsia="宋体" w:cs="宋体"/>
                <w:b/>
                <w:bCs/>
                <w:sz w:val="30"/>
                <w:szCs w:val="30"/>
              </w:rPr>
            </w:pPr>
            <w:r>
              <w:rPr>
                <w:rFonts w:hint="eastAsia" w:ascii="宋体" w:hAnsi="宋体" w:eastAsia="宋体" w:cs="宋体"/>
                <w:b/>
                <w:bCs/>
                <w:kern w:val="0"/>
                <w:sz w:val="30"/>
                <w:szCs w:val="30"/>
                <w:lang w:val="en-US" w:eastAsia="zh-CN" w:bidi="ar"/>
              </w:rPr>
              <w:t>阻击战促进经济稳增长的若干措施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仿宋_GBK" w:hAnsi="方正仿宋_GBK" w:eastAsia="方正仿宋_GBK" w:cs="方正仿宋_GBK"/>
                <w:kern w:val="0"/>
                <w:sz w:val="24"/>
                <w:szCs w:val="24"/>
                <w:lang w:val="en-US" w:eastAsia="zh-CN" w:bidi="ar"/>
              </w:rPr>
              <w:t>为深入贯彻落实习近平总书记关于坚决打赢新冠肺炎疫情防控阻击战的重要指示批示精神，全面落实党中央、国务院和自治区党委、政府关于疫情防控的决策部署，统筹做好全区住房城乡建设行业新冠肺炎疫情精准防控和促进经济稳增长工作，提出如下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ascii="方正黑体_GBK" w:hAnsi="方正黑体_GBK" w:eastAsia="方正黑体_GBK" w:cs="方正黑体_GBK"/>
                <w:kern w:val="0"/>
                <w:sz w:val="24"/>
                <w:szCs w:val="24"/>
                <w:lang w:val="en-US" w:eastAsia="zh-CN" w:bidi="ar"/>
              </w:rPr>
              <w:t>一、全力保障和推进疫情防控重点工程建设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ascii="方正楷体_GBK" w:hAnsi="方正楷体_GBK" w:eastAsia="方正楷体_GBK" w:cs="方正楷体_GBK"/>
                <w:kern w:val="0"/>
                <w:sz w:val="24"/>
                <w:szCs w:val="24"/>
                <w:lang w:val="en-US" w:eastAsia="zh-CN" w:bidi="ar"/>
              </w:rPr>
              <w:t>（一）全速推动自治区和部分城市后备应急医院建设。</w:t>
            </w:r>
            <w:r>
              <w:rPr>
                <w:rFonts w:hint="default" w:ascii="方正仿宋_GBK" w:hAnsi="方正仿宋_GBK" w:eastAsia="方正仿宋_GBK" w:cs="方正仿宋_GBK"/>
                <w:kern w:val="0"/>
                <w:sz w:val="24"/>
                <w:szCs w:val="24"/>
                <w:lang w:val="en-US" w:eastAsia="zh-CN" w:bidi="ar"/>
              </w:rPr>
              <w:t>按照自治区新冠肺炎疫情防控工作领导小组指挥部要求，坚持</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统一指挥、统一设计、统一施工</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，特事特办，容缺受理，统筹推进自治区和部分城市后备应急医院项目立项、选址、设计、施工、设备采购、资金管理等工作，加快工程建设进度，加强质量管控，力争建成高品质应急医院。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（二）全力保障重点工程项目开（复）工。</w:t>
            </w:r>
            <w:r>
              <w:rPr>
                <w:rFonts w:hint="default" w:ascii="方正仿宋_GBK" w:hAnsi="方正仿宋_GBK" w:eastAsia="方正仿宋_GBK" w:cs="方正仿宋_GBK"/>
                <w:kern w:val="0"/>
                <w:sz w:val="24"/>
                <w:szCs w:val="24"/>
                <w:lang w:val="en-US" w:eastAsia="zh-CN" w:bidi="ar"/>
              </w:rPr>
              <w:t>对涉及城市运行必需、疫情防控必需、重要国计民生及企业生产经营急需的项目，各地要加强指导服务，优先调配人员力量，优先保障重点工程项目开（复）工。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黑体_GBK" w:hAnsi="方正黑体_GBK" w:eastAsia="方正黑体_GBK" w:cs="方正黑体_GBK"/>
                <w:kern w:val="0"/>
                <w:sz w:val="24"/>
                <w:szCs w:val="24"/>
                <w:lang w:val="en-US" w:eastAsia="zh-CN" w:bidi="ar"/>
              </w:rPr>
              <w:t>二、全力推动住房城乡建设行业发展，促进经济稳增长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（三）有序推动企业复工复产。</w:t>
            </w:r>
            <w:r>
              <w:rPr>
                <w:rFonts w:hint="default" w:ascii="方正仿宋_GBK" w:hAnsi="方正仿宋_GBK" w:eastAsia="方正仿宋_GBK" w:cs="方正仿宋_GBK"/>
                <w:kern w:val="0"/>
                <w:sz w:val="24"/>
                <w:szCs w:val="24"/>
                <w:lang w:val="en-US" w:eastAsia="zh-CN" w:bidi="ar"/>
              </w:rPr>
              <w:t>简化项目开（复）工要求和程序，分区分类有序推动企业复工复产。低风险地区，要在认真做好防控的前提下，加快推进本地住房城乡建设行业复工复产；中风险地区，要在继续做好疫情防控工作的前提下，有序推动本地住房城乡建设行业复产复工；高风险地区，要以疫情防控为主，采取积极措施，确保涉及全局的重点项目复工复产，其他项目根据疫情发展形势逐步复工复产。各地住房城乡建设主管部门要及时了解各行业复工复产情况，指导和协调解决各企业遇到的困难和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（四）加快补助资金拨付。</w:t>
            </w:r>
            <w:r>
              <w:rPr>
                <w:rFonts w:hint="default" w:ascii="方正仿宋_GBK" w:hAnsi="方正仿宋_GBK" w:eastAsia="方正仿宋_GBK" w:cs="方正仿宋_GBK"/>
                <w:kern w:val="0"/>
                <w:sz w:val="24"/>
                <w:szCs w:val="24"/>
                <w:lang w:val="en-US" w:eastAsia="zh-CN" w:bidi="ar"/>
              </w:rPr>
              <w:t>各地住房城乡建设主管部门要指导督促已获得中央、自治区资金补助的项目及时复工复产，了解项目进展情况和存在的困难，积极协助建设单位加强与当地财政部门的沟通协调，加快项目补助资金拨付进度。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（五）开通工程建设项目审批</w:t>
            </w:r>
            <w:r>
              <w:rPr>
                <w:rFonts w:hint="default" w:ascii="Times New Roman" w:hAnsi="Times New Roman" w:cs="Times New Roman" w:eastAsiaTheme="minorEastAsia"/>
                <w:kern w:val="0"/>
                <w:sz w:val="24"/>
                <w:szCs w:val="24"/>
                <w:lang w:val="en-US" w:eastAsia="zh-CN" w:bidi="ar"/>
              </w:rPr>
              <w:t>“</w:t>
            </w:r>
            <w:r>
              <w:rPr>
                <w:rFonts w:hint="default" w:ascii="方正楷体_GBK" w:hAnsi="方正楷体_GBK" w:eastAsia="方正楷体_GBK" w:cs="方正楷体_GBK"/>
                <w:kern w:val="0"/>
                <w:sz w:val="24"/>
                <w:szCs w:val="24"/>
                <w:lang w:val="en-US" w:eastAsia="zh-CN" w:bidi="ar"/>
              </w:rPr>
              <w:t>绿色通道</w:t>
            </w:r>
            <w:r>
              <w:rPr>
                <w:rFonts w:hint="default" w:ascii="Times New Roman" w:hAnsi="Times New Roman" w:cs="Times New Roman" w:eastAsiaTheme="minorEastAsia"/>
                <w:kern w:val="0"/>
                <w:sz w:val="24"/>
                <w:szCs w:val="24"/>
                <w:lang w:val="en-US" w:eastAsia="zh-CN" w:bidi="ar"/>
              </w:rPr>
              <w:t>”</w:t>
            </w:r>
            <w:r>
              <w:rPr>
                <w:rFonts w:hint="default" w:ascii="方正楷体_GBK" w:hAnsi="方正楷体_GBK" w:eastAsia="方正楷体_GBK" w:cs="方正楷体_GBK"/>
                <w:kern w:val="0"/>
                <w:sz w:val="24"/>
                <w:szCs w:val="24"/>
                <w:lang w:val="en-US" w:eastAsia="zh-CN" w:bidi="ar"/>
              </w:rPr>
              <w:t>。</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需开工的一般企业投资工程建设项目，行政审批主管部门应视情况予以容缺受理，加快办理项目开工审批手续，质量安全监督、城管等部门要进一步主动跟进服务。对疫情防控必需的工程建设项目，建设单位在工程质量安全保证措施到位的情况下，可先行开工建设，并及时报告工程所在地住房城乡建设主管部门，待疫情解除后再补办有关手续。对疫情防控期间作出积极贡献的诚信、爱心企业，采取开辟</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绿色通道</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优先办理、延期关闭申报通道、专人指导申报等措施，积极主动帮扶企业做好资质申报等事项。适当放宽企业信用修复条件。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（六）加快推进保障性安居工程建设。</w:t>
            </w:r>
            <w:r>
              <w:rPr>
                <w:rFonts w:hint="default" w:ascii="方正仿宋_GBK" w:hAnsi="方正仿宋_GBK" w:eastAsia="方正仿宋_GBK" w:cs="方正仿宋_GBK"/>
                <w:kern w:val="0"/>
                <w:sz w:val="24"/>
                <w:szCs w:val="24"/>
                <w:lang w:val="en-US" w:eastAsia="zh-CN" w:bidi="ar"/>
              </w:rPr>
              <w:t>对涉及保障民生的公租房基础配套设施建设等收尾工程和亟需回迁安置的棚户区改造项目，在严格落实疫情防控措施的前提下，具备开（复）工条件的项目要抓紧组织开（复）工；不具备开（复）工条件的，要提前备工备料，完善相关前期手续，强化工程项目协调，加快项目推进。对及时开（复）工的棚户区改造项目，在分配保障性安居工程配套基础设施中央补助资金时予以倾斜，并优先纳入棚户区改造专项债券发行支持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（七）调整公租房阶段性政策。</w:t>
            </w:r>
            <w:r>
              <w:rPr>
                <w:rFonts w:hint="default" w:ascii="方正仿宋_GBK" w:hAnsi="方正仿宋_GBK" w:eastAsia="方正仿宋_GBK" w:cs="方正仿宋_GBK"/>
                <w:kern w:val="0"/>
                <w:sz w:val="24"/>
                <w:szCs w:val="24"/>
                <w:lang w:val="en-US" w:eastAsia="zh-CN" w:bidi="ar"/>
              </w:rPr>
              <w:t>自</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1</w:t>
            </w:r>
            <w:r>
              <w:rPr>
                <w:rFonts w:hint="default" w:ascii="方正仿宋_GBK" w:hAnsi="方正仿宋_GBK" w:eastAsia="方正仿宋_GBK" w:cs="方正仿宋_GBK"/>
                <w:kern w:val="0"/>
                <w:sz w:val="24"/>
                <w:szCs w:val="24"/>
                <w:lang w:val="en-US" w:eastAsia="zh-CN" w:bidi="ar"/>
              </w:rPr>
              <w:t>月起到疫情防控解除后两个月，对逾期缴纳公租房租金的家庭不作逾期处理，不计入个人信用记录。有条件的地区可适当扩大公租房货币化保障范围，将近期复工企业承租社会房源的职工阶段性纳入保障范围，发放疫情防控期间的住房租赁补贴；对符合条件的诚信、爱心企业职工和参与疫情防控一线工作的保障对象，优先提供保障房、公租房。支持各地对参与疫情防控一线工作的医护、环卫、公交、物业等行业公租房保障对象承租公租房实物房源的，可减免</w:t>
            </w:r>
            <w:r>
              <w:rPr>
                <w:rFonts w:hint="default" w:ascii="Times New Roman" w:hAnsi="Times New Roman" w:cs="Times New Roman" w:eastAsiaTheme="minorEastAsia"/>
                <w:kern w:val="0"/>
                <w:sz w:val="24"/>
                <w:szCs w:val="24"/>
                <w:lang w:val="en-US" w:eastAsia="zh-CN" w:bidi="ar"/>
              </w:rPr>
              <w:t>1</w:t>
            </w:r>
            <w:r>
              <w:rPr>
                <w:rFonts w:hint="default" w:ascii="方正仿宋_GBK" w:hAnsi="方正仿宋_GBK" w:eastAsia="方正仿宋_GBK" w:cs="方正仿宋_GBK"/>
                <w:kern w:val="0"/>
                <w:sz w:val="24"/>
                <w:szCs w:val="24"/>
                <w:lang w:val="en-US" w:eastAsia="zh-CN" w:bidi="ar"/>
              </w:rPr>
              <w:t>至</w:t>
            </w:r>
            <w:r>
              <w:rPr>
                <w:rFonts w:hint="default" w:ascii="Times New Roman" w:hAnsi="Times New Roman" w:cs="Times New Roman" w:eastAsiaTheme="minorEastAsia"/>
                <w:kern w:val="0"/>
                <w:sz w:val="24"/>
                <w:szCs w:val="24"/>
                <w:lang w:val="en-US" w:eastAsia="zh-CN" w:bidi="ar"/>
              </w:rPr>
              <w:t>3</w:t>
            </w:r>
            <w:r>
              <w:rPr>
                <w:rFonts w:hint="default" w:ascii="方正仿宋_GBK" w:hAnsi="方正仿宋_GBK" w:eastAsia="方正仿宋_GBK" w:cs="方正仿宋_GBK"/>
                <w:kern w:val="0"/>
                <w:sz w:val="24"/>
                <w:szCs w:val="24"/>
                <w:lang w:val="en-US" w:eastAsia="zh-CN" w:bidi="ar"/>
              </w:rPr>
              <w:t>个月租金；领取租赁补贴的，可增发</w:t>
            </w:r>
            <w:r>
              <w:rPr>
                <w:rFonts w:hint="default" w:ascii="Times New Roman" w:hAnsi="Times New Roman" w:cs="Times New Roman" w:eastAsiaTheme="minorEastAsia"/>
                <w:kern w:val="0"/>
                <w:sz w:val="24"/>
                <w:szCs w:val="24"/>
                <w:lang w:val="en-US" w:eastAsia="zh-CN" w:bidi="ar"/>
              </w:rPr>
              <w:t>1</w:t>
            </w:r>
            <w:r>
              <w:rPr>
                <w:rFonts w:hint="default" w:ascii="方正仿宋_GBK" w:hAnsi="方正仿宋_GBK" w:eastAsia="方正仿宋_GBK" w:cs="方正仿宋_GBK"/>
                <w:kern w:val="0"/>
                <w:sz w:val="24"/>
                <w:szCs w:val="24"/>
                <w:lang w:val="en-US" w:eastAsia="zh-CN" w:bidi="ar"/>
              </w:rPr>
              <w:t>至</w:t>
            </w:r>
            <w:r>
              <w:rPr>
                <w:rFonts w:hint="default" w:ascii="Times New Roman" w:hAnsi="Times New Roman" w:cs="Times New Roman" w:eastAsiaTheme="minorEastAsia"/>
                <w:kern w:val="0"/>
                <w:sz w:val="24"/>
                <w:szCs w:val="24"/>
                <w:lang w:val="en-US" w:eastAsia="zh-CN" w:bidi="ar"/>
              </w:rPr>
              <w:t>3</w:t>
            </w:r>
            <w:r>
              <w:rPr>
                <w:rFonts w:hint="default" w:ascii="方正仿宋_GBK" w:hAnsi="方正仿宋_GBK" w:eastAsia="方正仿宋_GBK" w:cs="方正仿宋_GBK"/>
                <w:kern w:val="0"/>
                <w:sz w:val="24"/>
                <w:szCs w:val="24"/>
                <w:lang w:val="en-US" w:eastAsia="zh-CN" w:bidi="ar"/>
              </w:rPr>
              <w:t>个月租赁补贴；高风险地区可适当延长减免租金或增发补贴时间。继续加强困难群众住房保障工作，对经济收入困难家庭予以适当的租金减免。以上具体细则由各地自行制定。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（八）保持房地产市场平稳健康。</w:t>
            </w:r>
            <w:r>
              <w:rPr>
                <w:rFonts w:hint="default" w:ascii="方正仿宋_GBK" w:hAnsi="方正仿宋_GBK" w:eastAsia="方正仿宋_GBK" w:cs="方正仿宋_GBK"/>
                <w:kern w:val="0"/>
                <w:sz w:val="24"/>
                <w:szCs w:val="24"/>
                <w:lang w:val="en-US" w:eastAsia="zh-CN" w:bidi="ar"/>
              </w:rPr>
              <w:t>加快商品房预售审批和房屋网签备案办理，最大程度地提高审批效率；进一步优化房屋网签备案流程，压缩房屋网签备案办理时限。疫情防控期间，鼓励房地产开发企业和中介机构通过线上销售平台开展销售、中介业务，房地产开发企业和中介机构按规定复工并落实疫情防控措施后，可开展</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一对一</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预约看房和签约。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（九）大力推动地下管网建设三年大会战项目建设。</w:t>
            </w:r>
            <w:r>
              <w:rPr>
                <w:rFonts w:hint="default" w:ascii="方正仿宋_GBK" w:hAnsi="方正仿宋_GBK" w:eastAsia="方正仿宋_GBK" w:cs="方正仿宋_GBK"/>
                <w:kern w:val="0"/>
                <w:sz w:val="24"/>
                <w:szCs w:val="24"/>
                <w:lang w:val="en-US" w:eastAsia="zh-CN" w:bidi="ar"/>
              </w:rPr>
              <w:t>大力实施供排水、市政燃气、地下综合管廊等城镇地下管网项目建设。加快地下管网普查和规划修订工作。大力实施老旧、破损及错接混接管网的更新改造，以及雨污合流管道的分流改造，加强城市管网空白区的管网建设，提高污水收集效率，满足城市排水防涝要求。积极推进</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十三五</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第二、第三批镇级污水处理设施建设。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（十）全面启动城镇老旧小区改造。</w:t>
            </w:r>
            <w:r>
              <w:rPr>
                <w:rFonts w:hint="default" w:ascii="Times New Roman" w:hAnsi="Times New Roman" w:cs="Times New Roman" w:eastAsiaTheme="minorEastAsia"/>
                <w:kern w:val="0"/>
                <w:sz w:val="24"/>
                <w:szCs w:val="24"/>
                <w:lang w:val="en-US" w:eastAsia="zh-CN" w:bidi="ar"/>
              </w:rPr>
              <w:t>2019</w:t>
            </w:r>
            <w:r>
              <w:rPr>
                <w:rFonts w:hint="default" w:ascii="方正仿宋_GBK" w:hAnsi="方正仿宋_GBK" w:eastAsia="方正仿宋_GBK" w:cs="方正仿宋_GBK"/>
                <w:kern w:val="0"/>
                <w:sz w:val="24"/>
                <w:szCs w:val="24"/>
                <w:lang w:val="en-US" w:eastAsia="zh-CN" w:bidi="ar"/>
              </w:rPr>
              <w:t>年获得中央补助的</w:t>
            </w:r>
            <w:r>
              <w:rPr>
                <w:rFonts w:hint="default" w:ascii="Times New Roman" w:hAnsi="Times New Roman" w:cs="Times New Roman" w:eastAsiaTheme="minorEastAsia"/>
                <w:kern w:val="0"/>
                <w:sz w:val="24"/>
                <w:szCs w:val="24"/>
                <w:lang w:val="en-US" w:eastAsia="zh-CN" w:bidi="ar"/>
              </w:rPr>
              <w:t>2.78</w:t>
            </w:r>
            <w:r>
              <w:rPr>
                <w:rFonts w:hint="default" w:ascii="方正仿宋_GBK" w:hAnsi="方正仿宋_GBK" w:eastAsia="方正仿宋_GBK" w:cs="方正仿宋_GBK"/>
                <w:kern w:val="0"/>
                <w:sz w:val="24"/>
                <w:szCs w:val="24"/>
                <w:lang w:val="en-US" w:eastAsia="zh-CN" w:bidi="ar"/>
              </w:rPr>
              <w:t>万户城镇老旧小区改造项目，要提前做好开（复）工台账管理，明确推进措施和责任主体，加快项目建设。纳入</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年改造计划的</w:t>
            </w:r>
            <w:r>
              <w:rPr>
                <w:rFonts w:hint="default" w:ascii="Times New Roman" w:hAnsi="Times New Roman" w:cs="Times New Roman" w:eastAsiaTheme="minorEastAsia"/>
                <w:kern w:val="0"/>
                <w:sz w:val="24"/>
                <w:szCs w:val="24"/>
                <w:lang w:val="en-US" w:eastAsia="zh-CN" w:bidi="ar"/>
              </w:rPr>
              <w:t>16.7</w:t>
            </w:r>
            <w:r>
              <w:rPr>
                <w:rFonts w:hint="default" w:ascii="方正仿宋_GBK" w:hAnsi="方正仿宋_GBK" w:eastAsia="方正仿宋_GBK" w:cs="方正仿宋_GBK"/>
                <w:kern w:val="0"/>
                <w:sz w:val="24"/>
                <w:szCs w:val="24"/>
                <w:lang w:val="en-US" w:eastAsia="zh-CN" w:bidi="ar"/>
              </w:rPr>
              <w:t>万户城镇老旧小区项目，各地要抓紧办理项目开工前期手续和居民意愿调查工作，确保按时保质保量完成年度改造任务，年内完成</w:t>
            </w:r>
            <w:r>
              <w:rPr>
                <w:rFonts w:hint="default" w:ascii="Times New Roman" w:hAnsi="Times New Roman" w:cs="Times New Roman" w:eastAsiaTheme="minorEastAsia"/>
                <w:kern w:val="0"/>
                <w:sz w:val="24"/>
                <w:szCs w:val="24"/>
                <w:lang w:val="en-US" w:eastAsia="zh-CN" w:bidi="ar"/>
              </w:rPr>
              <w:t>657</w:t>
            </w:r>
            <w:r>
              <w:rPr>
                <w:rFonts w:hint="default" w:ascii="方正仿宋_GBK" w:hAnsi="方正仿宋_GBK" w:eastAsia="方正仿宋_GBK" w:cs="方正仿宋_GBK"/>
                <w:kern w:val="0"/>
                <w:sz w:val="24"/>
                <w:szCs w:val="24"/>
                <w:lang w:val="en-US" w:eastAsia="zh-CN" w:bidi="ar"/>
              </w:rPr>
              <w:t>台加装电梯项目和无障碍设施建设工作。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（十一）保障市政公用行业正常生产运营。</w:t>
            </w:r>
            <w:r>
              <w:rPr>
                <w:rFonts w:hint="default" w:ascii="方正仿宋_GBK" w:hAnsi="方正仿宋_GBK" w:eastAsia="方正仿宋_GBK" w:cs="方正仿宋_GBK"/>
                <w:kern w:val="0"/>
                <w:sz w:val="24"/>
                <w:szCs w:val="24"/>
                <w:lang w:val="en-US" w:eastAsia="zh-CN" w:bidi="ar"/>
              </w:rPr>
              <w:t>疫情防控期间，各地要进一步加强监管，确保各类市政公用设施达标稳定运行。主动协调相关部门，积极保障供水、供气、生活污水处理、生活垃圾处理、环卫保洁、园林绿化等市政公用行业的生产物资和防护物资；因疫情防控增加成本和投入费用的，要积极协调财政、税务部门落实相关财政补助和税费减免政策，按时足额拨付相关服务费用。在保证城市道路、桥梁、隧道、公共照明、园林绿化等市政公用设施功能性和安全性前提下，可适当降低养护绩效评价标准，优化养护作业方式和流程，鼓励养护单位以信息化手段开展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（十二）强化城镇污水处理和生活垃圾收集转运。</w:t>
            </w:r>
            <w:r>
              <w:rPr>
                <w:rFonts w:hint="default" w:ascii="方正仿宋_GBK" w:hAnsi="方正仿宋_GBK" w:eastAsia="方正仿宋_GBK" w:cs="方正仿宋_GBK"/>
                <w:kern w:val="0"/>
                <w:sz w:val="24"/>
                <w:szCs w:val="24"/>
                <w:lang w:val="en-US" w:eastAsia="zh-CN" w:bidi="ar"/>
              </w:rPr>
              <w:t>各地要督促城镇污水处理厂做好消毒和卫生防疫工作，确保出水指标达到相关排放标准，并主动配合生态环境和卫生健康部门做好医疗废水的收集处置工作。进一步强化城镇生活垃圾收集转运处置监管，严禁医疗废弃物等垃圾混入城镇生活垃圾处理系统，坚决防止因生活垃圾处理不及时造成二次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（十三）决战决胜脱贫攻坚住房安全保障战役。</w:t>
            </w:r>
            <w:r>
              <w:rPr>
                <w:rFonts w:hint="default" w:ascii="方正仿宋_GBK" w:hAnsi="方正仿宋_GBK" w:eastAsia="方正仿宋_GBK" w:cs="方正仿宋_GBK"/>
                <w:kern w:val="0"/>
                <w:sz w:val="24"/>
                <w:szCs w:val="24"/>
                <w:lang w:val="en-US" w:eastAsia="zh-CN" w:bidi="ar"/>
              </w:rPr>
              <w:t>全面核准建档立卡贫困户住房安全保障情况，全面完成</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度农村危房改造任务。开展挂点督战和驻点指导，建立常态化暗访机制，继续做好中央脱贫攻坚专项巡视反馈问题整改、深化农村危房改造领域腐败和作风问题专项治理、漠视侵害群众利益问题整治等工作。出台加强农房建设管控政策文件，提高农房设计和建造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（十四）全力开展乡村风貌提升三年行动。</w:t>
            </w:r>
            <w:r>
              <w:rPr>
                <w:rFonts w:hint="default" w:ascii="方正仿宋_GBK" w:hAnsi="方正仿宋_GBK" w:eastAsia="方正仿宋_GBK" w:cs="方正仿宋_GBK"/>
                <w:kern w:val="0"/>
                <w:sz w:val="24"/>
                <w:szCs w:val="24"/>
                <w:lang w:val="en-US" w:eastAsia="zh-CN" w:bidi="ar"/>
              </w:rPr>
              <w:t>对标乡村风貌提升三年行动总目标，持续开展</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三清三拆</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环境整治，建设一批乡村风貌示范带和基本整治型、设施完善型和精品示范型村庄。以疫情防控为切入点，切实加强疫情防控期间农村生活垃圾清扫、收集、运输和处理工作，保持环境清洁卫生。建立健全生活垃圾收运处理体系，建设</w:t>
            </w:r>
            <w:r>
              <w:rPr>
                <w:rFonts w:hint="default" w:ascii="Times New Roman" w:hAnsi="Times New Roman" w:cs="Times New Roman" w:eastAsiaTheme="minorEastAsia"/>
                <w:kern w:val="0"/>
                <w:sz w:val="24"/>
                <w:szCs w:val="24"/>
                <w:lang w:val="en-US" w:eastAsia="zh-CN" w:bidi="ar"/>
              </w:rPr>
              <w:t>200</w:t>
            </w:r>
            <w:r>
              <w:rPr>
                <w:rFonts w:hint="default" w:ascii="方正仿宋_GBK" w:hAnsi="方正仿宋_GBK" w:eastAsia="方正仿宋_GBK" w:cs="方正仿宋_GBK"/>
                <w:kern w:val="0"/>
                <w:sz w:val="24"/>
                <w:szCs w:val="24"/>
                <w:lang w:val="en-US" w:eastAsia="zh-CN" w:bidi="ar"/>
              </w:rPr>
              <w:t>个村级收集转运处理设施。推进</w:t>
            </w:r>
            <w:r>
              <w:rPr>
                <w:rFonts w:hint="default" w:ascii="Times New Roman" w:hAnsi="Times New Roman" w:cs="Times New Roman" w:eastAsiaTheme="minorEastAsia"/>
                <w:kern w:val="0"/>
                <w:sz w:val="24"/>
                <w:szCs w:val="24"/>
                <w:lang w:val="en-US" w:eastAsia="zh-CN" w:bidi="ar"/>
              </w:rPr>
              <w:t>4</w:t>
            </w:r>
            <w:r>
              <w:rPr>
                <w:rFonts w:hint="default" w:ascii="方正仿宋_GBK" w:hAnsi="方正仿宋_GBK" w:eastAsia="方正仿宋_GBK" w:cs="方正仿宋_GBK"/>
                <w:kern w:val="0"/>
                <w:sz w:val="24"/>
                <w:szCs w:val="24"/>
                <w:lang w:val="en-US" w:eastAsia="zh-CN" w:bidi="ar"/>
              </w:rPr>
              <w:t>个农村生活垃圾分类和资源化利用示范县创建工作，完成全部非正规垃圾堆放点整治。实施</w:t>
            </w:r>
            <w:r>
              <w:rPr>
                <w:rFonts w:hint="default" w:ascii="Times New Roman" w:hAnsi="Times New Roman" w:cs="Times New Roman" w:eastAsiaTheme="minorEastAsia"/>
                <w:kern w:val="0"/>
                <w:sz w:val="24"/>
                <w:szCs w:val="24"/>
                <w:lang w:val="en-US" w:eastAsia="zh-CN" w:bidi="ar"/>
              </w:rPr>
              <w:t>300</w:t>
            </w:r>
            <w:r>
              <w:rPr>
                <w:rFonts w:hint="default" w:ascii="方正仿宋_GBK" w:hAnsi="方正仿宋_GBK" w:eastAsia="方正仿宋_GBK" w:cs="方正仿宋_GBK"/>
                <w:kern w:val="0"/>
                <w:sz w:val="24"/>
                <w:szCs w:val="24"/>
                <w:lang w:val="en-US" w:eastAsia="zh-CN" w:bidi="ar"/>
              </w:rPr>
              <w:t>户以上自然村公共厕所改造</w:t>
            </w:r>
            <w:r>
              <w:rPr>
                <w:rFonts w:hint="default" w:ascii="Times New Roman" w:hAnsi="Times New Roman" w:cs="Times New Roman" w:eastAsiaTheme="minorEastAsia"/>
                <w:kern w:val="0"/>
                <w:sz w:val="24"/>
                <w:szCs w:val="24"/>
                <w:lang w:val="en-US" w:eastAsia="zh-CN" w:bidi="ar"/>
              </w:rPr>
              <w:t>450</w:t>
            </w:r>
            <w:r>
              <w:rPr>
                <w:rFonts w:hint="default" w:ascii="方正仿宋_GBK" w:hAnsi="方正仿宋_GBK" w:eastAsia="方正仿宋_GBK" w:cs="方正仿宋_GBK"/>
                <w:kern w:val="0"/>
                <w:sz w:val="24"/>
                <w:szCs w:val="24"/>
                <w:lang w:val="en-US" w:eastAsia="zh-CN" w:bidi="ar"/>
              </w:rPr>
              <w:t>座。加强传统村落保护利用。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（十五）加强城管执法。</w:t>
            </w:r>
            <w:r>
              <w:rPr>
                <w:rFonts w:hint="default" w:ascii="方正仿宋_GBK" w:hAnsi="方正仿宋_GBK" w:eastAsia="方正仿宋_GBK" w:cs="方正仿宋_GBK"/>
                <w:kern w:val="0"/>
                <w:sz w:val="24"/>
                <w:szCs w:val="24"/>
                <w:lang w:val="en-US" w:eastAsia="zh-CN" w:bidi="ar"/>
              </w:rPr>
              <w:t>加强城市管理执法巡查，实行</w:t>
            </w:r>
            <w:r>
              <w:rPr>
                <w:rFonts w:hint="default" w:ascii="Times New Roman" w:hAnsi="Times New Roman" w:cs="Times New Roman" w:eastAsiaTheme="minorEastAsia"/>
                <w:kern w:val="0"/>
                <w:sz w:val="24"/>
                <w:szCs w:val="24"/>
                <w:lang w:val="en-US" w:eastAsia="zh-CN" w:bidi="ar"/>
              </w:rPr>
              <w:t>“721”</w:t>
            </w:r>
            <w:r>
              <w:rPr>
                <w:rFonts w:hint="default" w:ascii="方正仿宋_GBK" w:hAnsi="方正仿宋_GBK" w:eastAsia="方正仿宋_GBK" w:cs="方正仿宋_GBK"/>
                <w:kern w:val="0"/>
                <w:sz w:val="24"/>
                <w:szCs w:val="24"/>
                <w:lang w:val="en-US" w:eastAsia="zh-CN" w:bidi="ar"/>
              </w:rPr>
              <w:t>工作法，限时解决群众反映的问题。积极配合市场监管、商务、林业等部门开展打击野生动物非法交易行为，取缔违法违规经营点。依托网格化管理模式，积极协调解决城市管理的难点和热点问题。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黑体_GBK" w:hAnsi="方正黑体_GBK" w:eastAsia="方正黑体_GBK" w:cs="方正黑体_GBK"/>
                <w:kern w:val="0"/>
                <w:sz w:val="24"/>
                <w:szCs w:val="24"/>
                <w:lang w:val="en-US" w:eastAsia="zh-CN" w:bidi="ar"/>
              </w:rPr>
              <w:t>三、全力扶持行业发展，减轻企业压力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（十六）妥善处理项目工期延误。</w:t>
            </w:r>
            <w:r>
              <w:rPr>
                <w:rFonts w:hint="default" w:ascii="方正仿宋_GBK" w:hAnsi="方正仿宋_GBK" w:eastAsia="方正仿宋_GBK" w:cs="方正仿宋_GBK"/>
                <w:kern w:val="0"/>
                <w:sz w:val="24"/>
                <w:szCs w:val="24"/>
                <w:lang w:val="en-US" w:eastAsia="zh-CN" w:bidi="ar"/>
              </w:rPr>
              <w:t>建设单位和施工企业、工程总承包、市政及消防建设企业可依法适用不可抗力有关规定，妥善处理因疫情防控产生的工期延误风险，根据实际情况合理顺延工期。因疫情影响不能按期缴纳税款的，可积极协调税务部门延期缴纳税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（十七）及时提供工程造价调整依据。</w:t>
            </w:r>
            <w:r>
              <w:rPr>
                <w:rFonts w:hint="default" w:ascii="方正仿宋_GBK" w:hAnsi="方正仿宋_GBK" w:eastAsia="方正仿宋_GBK" w:cs="方正仿宋_GBK"/>
                <w:kern w:val="0"/>
                <w:sz w:val="24"/>
                <w:szCs w:val="24"/>
                <w:lang w:val="en-US" w:eastAsia="zh-CN" w:bidi="ar"/>
              </w:rPr>
              <w:t>因疫情防控导致建设工程人工、材料价格发生重大变化，相应调整方式在建筑施工合同中没有约定或约定不明的，建设单位和施工企业、工程总承包企业可根据实际情况适用情势变更，按照</w:t>
            </w:r>
            <w:r>
              <w:rPr>
                <w:rFonts w:hint="default" w:ascii="Times New Roman" w:hAnsi="Times New Roman" w:cs="Times New Roman" w:eastAsiaTheme="minorEastAsia"/>
                <w:kern w:val="0"/>
                <w:sz w:val="24"/>
                <w:szCs w:val="24"/>
                <w:lang w:val="en-US" w:eastAsia="zh-CN" w:bidi="ar"/>
              </w:rPr>
              <w:t>“5%</w:t>
            </w:r>
            <w:r>
              <w:rPr>
                <w:rFonts w:hint="default" w:ascii="方正仿宋_GBK" w:hAnsi="方正仿宋_GBK" w:eastAsia="方正仿宋_GBK" w:cs="方正仿宋_GBK"/>
                <w:kern w:val="0"/>
                <w:sz w:val="24"/>
                <w:szCs w:val="24"/>
                <w:lang w:val="en-US" w:eastAsia="zh-CN" w:bidi="ar"/>
              </w:rPr>
              <w:t>以内的人工和单项材料设备价格风险由承包方承担，超出部分由发包方承担</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的原则合理分担风险。疫情防控期间继续施工的项目，可在工程造价中单列疫情防控专项经费，将疫情防控期间施工单位对应承接项目所产生的疫情防控成本列入工程造价予以全额追加。建设工程造价管理机构要加大建设工程人工、材料设备价格的采集、测算力度，及时发布市场价格信息和价格预警，必要时缩短发布周期，为合理确定和调整工程造价提供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（十八）减轻企业资金负担。</w:t>
            </w:r>
            <w:r>
              <w:rPr>
                <w:rFonts w:hint="default" w:ascii="方正仿宋_GBK" w:hAnsi="方正仿宋_GBK" w:eastAsia="方正仿宋_GBK" w:cs="方正仿宋_GBK"/>
                <w:kern w:val="0"/>
                <w:sz w:val="24"/>
                <w:szCs w:val="24"/>
                <w:lang w:val="en-US" w:eastAsia="zh-CN" w:bidi="ar"/>
              </w:rPr>
              <w:t>对新承揽业务的建筑业企业暂不收取投标保证金。鼓励建设单位与施工企业、工程总承包企业加强互助，合理分担停工损失，协商提高工程款支付比例，加快工程款支付进度；条件允许的，经双方协商，可提前预支工程款。协调安排建安劳保费结余资金对我区建筑施工企业予以补助，专项用于购买医疗用品、防护用品等必要的防护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（十九）降低企业用水、用气成本。</w:t>
            </w:r>
            <w:r>
              <w:rPr>
                <w:rFonts w:hint="default" w:ascii="方正仿宋_GBK" w:hAnsi="方正仿宋_GBK" w:eastAsia="方正仿宋_GBK" w:cs="方正仿宋_GBK"/>
                <w:kern w:val="0"/>
                <w:sz w:val="24"/>
                <w:szCs w:val="24"/>
                <w:lang w:val="en-US" w:eastAsia="zh-CN" w:bidi="ar"/>
              </w:rPr>
              <w:t>各地住房城乡建设主管部门要会同发展改革、财政等部门落实好</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我区工业、经营服务用水实行临时降价，降价幅度为非居民用水价格（不含污水处理费）的</w:t>
            </w:r>
            <w:r>
              <w:rPr>
                <w:rFonts w:hint="default" w:ascii="Times New Roman" w:hAnsi="Times New Roman" w:cs="Times New Roman" w:eastAsiaTheme="minorEastAsia"/>
                <w:kern w:val="0"/>
                <w:sz w:val="24"/>
                <w:szCs w:val="24"/>
                <w:lang w:val="en-US" w:eastAsia="zh-CN" w:bidi="ar"/>
              </w:rPr>
              <w:t>10%</w:t>
            </w:r>
            <w:r>
              <w:rPr>
                <w:rFonts w:hint="default" w:ascii="方正仿宋_GBK" w:hAnsi="方正仿宋_GBK" w:eastAsia="方正仿宋_GBK" w:cs="方正仿宋_GBK"/>
                <w:kern w:val="0"/>
                <w:sz w:val="24"/>
                <w:szCs w:val="24"/>
                <w:lang w:val="en-US" w:eastAsia="zh-CN" w:bidi="ar"/>
              </w:rPr>
              <w:t>，期限为</w:t>
            </w:r>
            <w:r>
              <w:rPr>
                <w:rFonts w:hint="default" w:ascii="Times New Roman" w:hAnsi="Times New Roman" w:cs="Times New Roman" w:eastAsiaTheme="minorEastAsia"/>
                <w:kern w:val="0"/>
                <w:sz w:val="24"/>
                <w:szCs w:val="24"/>
                <w:lang w:val="en-US" w:eastAsia="zh-CN" w:bidi="ar"/>
              </w:rPr>
              <w:t>5</w:t>
            </w:r>
            <w:r>
              <w:rPr>
                <w:rFonts w:hint="default" w:ascii="方正仿宋_GBK" w:hAnsi="方正仿宋_GBK" w:eastAsia="方正仿宋_GBK" w:cs="方正仿宋_GBK"/>
                <w:kern w:val="0"/>
                <w:sz w:val="24"/>
                <w:szCs w:val="24"/>
                <w:lang w:val="en-US" w:eastAsia="zh-CN" w:bidi="ar"/>
              </w:rPr>
              <w:t>个月</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的政策。疫情防控期间，对国家和自治区规定的重点保供企业严格执行用水用气</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欠费不停供</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（二十）放宽住房公积金政策。</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6</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30</w:t>
            </w:r>
            <w:r>
              <w:rPr>
                <w:rFonts w:hint="default" w:ascii="方正仿宋_GBK" w:hAnsi="方正仿宋_GBK" w:eastAsia="方正仿宋_GBK" w:cs="方正仿宋_GBK"/>
                <w:kern w:val="0"/>
                <w:sz w:val="24"/>
                <w:szCs w:val="24"/>
                <w:lang w:val="en-US" w:eastAsia="zh-CN" w:bidi="ar"/>
              </w:rPr>
              <w:t>日前，受新冠肺炎疫情影响的企业，可按规定申请缓缴住房公积金，缓缴期间的缴存时间连续计算，不影响职工正常提取和申请住房公积金贷款；经职工代表大会或工会讨论通过的，可按当地最低工资标准为职工缴存住房公积金。受新冠肺炎疫情影响的职工，</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6</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30</w:t>
            </w:r>
            <w:r>
              <w:rPr>
                <w:rFonts w:hint="default" w:ascii="方正仿宋_GBK" w:hAnsi="方正仿宋_GBK" w:eastAsia="方正仿宋_GBK" w:cs="方正仿宋_GBK"/>
                <w:kern w:val="0"/>
                <w:sz w:val="24"/>
                <w:szCs w:val="24"/>
                <w:lang w:val="en-US" w:eastAsia="zh-CN" w:bidi="ar"/>
              </w:rPr>
              <w:t>日前不能正常偿还住房公积金贷款的，不作逾期处理；对于租房有压力的职工，可适当提高租房提取额，并灵活安排提取时间。受疫情影响不能正常办理缴存业务的缴存单位，可在疫情防控解除后</w:t>
            </w:r>
            <w:r>
              <w:rPr>
                <w:rFonts w:hint="default" w:ascii="Times New Roman" w:hAnsi="Times New Roman" w:cs="Times New Roman" w:eastAsiaTheme="minorEastAsia"/>
                <w:kern w:val="0"/>
                <w:sz w:val="24"/>
                <w:szCs w:val="24"/>
                <w:lang w:val="en-US" w:eastAsia="zh-CN" w:bidi="ar"/>
              </w:rPr>
              <w:t>3</w:t>
            </w:r>
            <w:r>
              <w:rPr>
                <w:rFonts w:hint="default" w:ascii="方正仿宋_GBK" w:hAnsi="方正仿宋_GBK" w:eastAsia="方正仿宋_GBK" w:cs="方正仿宋_GBK"/>
                <w:kern w:val="0"/>
                <w:sz w:val="24"/>
                <w:szCs w:val="24"/>
                <w:lang w:val="en-US" w:eastAsia="zh-CN" w:bidi="ar"/>
              </w:rPr>
              <w:t>个月内补办理。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（二十一）争取物业服务企业优惠政策支持。</w:t>
            </w:r>
            <w:r>
              <w:rPr>
                <w:rFonts w:hint="default" w:ascii="方正仿宋_GBK" w:hAnsi="方正仿宋_GBK" w:eastAsia="方正仿宋_GBK" w:cs="方正仿宋_GBK"/>
                <w:kern w:val="0"/>
                <w:sz w:val="24"/>
                <w:szCs w:val="24"/>
                <w:lang w:val="en-US" w:eastAsia="zh-CN" w:bidi="ar"/>
              </w:rPr>
              <w:t>各地住房城乡建设主管部门要积极帮助参与疫情防控的物业服务企业向当地政府争取相应补助，如将物业小区一线疫情防控纳入公共管理由财政保障防护物资经费、出台临时财政补贴政策等，并积极争取按照生活服务类标准享受税收优惠政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黑体_GBK" w:hAnsi="方正黑体_GBK" w:eastAsia="方正黑体_GBK" w:cs="方正黑体_GBK"/>
                <w:kern w:val="0"/>
                <w:sz w:val="24"/>
                <w:szCs w:val="24"/>
                <w:lang w:val="en-US" w:eastAsia="zh-CN" w:bidi="ar"/>
              </w:rPr>
              <w:t>四、全力提高行政审批效率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（二十二）优化项目行政审批和招投标服务。</w:t>
            </w:r>
            <w:r>
              <w:rPr>
                <w:rFonts w:hint="default" w:ascii="方正仿宋_GBK" w:hAnsi="方正仿宋_GBK" w:eastAsia="方正仿宋_GBK" w:cs="方正仿宋_GBK"/>
                <w:kern w:val="0"/>
                <w:sz w:val="24"/>
                <w:szCs w:val="24"/>
                <w:lang w:val="en-US" w:eastAsia="zh-CN" w:bidi="ar"/>
              </w:rPr>
              <w:t>大力推进电子化招标投标，确保</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5</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30</w:t>
            </w:r>
            <w:r>
              <w:rPr>
                <w:rFonts w:hint="default" w:ascii="方正仿宋_GBK" w:hAnsi="方正仿宋_GBK" w:eastAsia="方正仿宋_GBK" w:cs="方正仿宋_GBK"/>
                <w:kern w:val="0"/>
                <w:sz w:val="24"/>
                <w:szCs w:val="24"/>
                <w:lang w:val="en-US" w:eastAsia="zh-CN" w:bidi="ar"/>
              </w:rPr>
              <w:t>日前实现工程建设项目全流程电子化招标投标；加大远程异地评标试点力度和范围，力争</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12</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30</w:t>
            </w:r>
            <w:r>
              <w:rPr>
                <w:rFonts w:hint="default" w:ascii="方正仿宋_GBK" w:hAnsi="方正仿宋_GBK" w:eastAsia="方正仿宋_GBK" w:cs="方正仿宋_GBK"/>
                <w:kern w:val="0"/>
                <w:sz w:val="24"/>
                <w:szCs w:val="24"/>
                <w:lang w:val="en-US" w:eastAsia="zh-CN" w:bidi="ar"/>
              </w:rPr>
              <w:t>日前实现全区房建市政工程招标投标远程异地评标常态化。大力实行在线办理相关行政审批业务，压缩办理时限，提高行政审批效率。疫情防控期间，自治区住房城乡建设厅政务服务窗口提供电话预约办理服务。因疫情影响，企业无法携带相关资料原件到现场办理的，可以采用快递方式提交申报材料，实行</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不见面审批</w:t>
            </w:r>
            <w:r>
              <w:rPr>
                <w:rFonts w:hint="default" w:ascii="Times New Roman" w:hAnsi="Times New Roman" w:cs="Times New Roman" w:eastAsiaTheme="minorEastAsia"/>
                <w:kern w:val="0"/>
                <w:sz w:val="24"/>
                <w:szCs w:val="24"/>
                <w:lang w:val="en-US" w:eastAsia="zh-CN" w:bidi="ar"/>
              </w:rPr>
              <w:t>”</w:t>
            </w:r>
            <w:r>
              <w:rPr>
                <w:rFonts w:hint="default" w:ascii="方正仿宋_GBK" w:hAnsi="方正仿宋_GBK" w:eastAsia="方正仿宋_GBK" w:cs="方正仿宋_GBK"/>
                <w:kern w:val="0"/>
                <w:sz w:val="24"/>
                <w:szCs w:val="24"/>
                <w:lang w:val="en-US" w:eastAsia="zh-CN" w:bidi="ar"/>
              </w:rPr>
              <w:t>。自治区住房城乡建设厅行政审批预约、咨询电话：</w:t>
            </w:r>
            <w:r>
              <w:rPr>
                <w:rFonts w:hint="default" w:ascii="Times New Roman" w:hAnsi="Times New Roman" w:cs="Times New Roman" w:eastAsiaTheme="minorEastAsia"/>
                <w:kern w:val="0"/>
                <w:sz w:val="24"/>
                <w:szCs w:val="24"/>
                <w:lang w:val="en-US" w:eastAsia="zh-CN" w:bidi="ar"/>
              </w:rPr>
              <w:t>0771-5595535</w:t>
            </w:r>
            <w:r>
              <w:rPr>
                <w:rFonts w:hint="default" w:ascii="方正仿宋_GBK" w:hAnsi="方正仿宋_GBK" w:eastAsia="方正仿宋_GBK" w:cs="方正仿宋_GBK"/>
                <w:kern w:val="0"/>
                <w:sz w:val="24"/>
                <w:szCs w:val="24"/>
                <w:lang w:val="en-US" w:eastAsia="zh-CN" w:bidi="ar"/>
              </w:rPr>
              <w:t>、</w:t>
            </w:r>
            <w:r>
              <w:rPr>
                <w:rFonts w:hint="default" w:ascii="Times New Roman" w:hAnsi="Times New Roman" w:cs="Times New Roman" w:eastAsiaTheme="minorEastAsia"/>
                <w:kern w:val="0"/>
                <w:sz w:val="24"/>
                <w:szCs w:val="24"/>
                <w:lang w:val="en-US" w:eastAsia="zh-CN" w:bidi="ar"/>
              </w:rPr>
              <w:t>0771-5595842</w:t>
            </w:r>
            <w:r>
              <w:rPr>
                <w:rFonts w:hint="default" w:ascii="方正仿宋_GBK" w:hAnsi="方正仿宋_GBK" w:eastAsia="方正仿宋_GBK" w:cs="方正仿宋_GBK"/>
                <w:kern w:val="0"/>
                <w:sz w:val="24"/>
                <w:szCs w:val="24"/>
                <w:lang w:val="en-US" w:eastAsia="zh-CN" w:bidi="ar"/>
              </w:rPr>
              <w:t>；邮寄地址：广西政务服务中心三楼自治区住房城乡建设厅窗口（地址：南宁市怡宾路</w:t>
            </w:r>
            <w:r>
              <w:rPr>
                <w:rFonts w:hint="default" w:ascii="Times New Roman" w:hAnsi="Times New Roman" w:cs="Times New Roman" w:eastAsiaTheme="minorEastAsia"/>
                <w:kern w:val="0"/>
                <w:sz w:val="24"/>
                <w:szCs w:val="24"/>
                <w:lang w:val="en-US" w:eastAsia="zh-CN" w:bidi="ar"/>
              </w:rPr>
              <w:t>6</w:t>
            </w:r>
            <w:r>
              <w:rPr>
                <w:rFonts w:hint="default" w:ascii="方正仿宋_GBK" w:hAnsi="方正仿宋_GBK" w:eastAsia="方正仿宋_GBK" w:cs="方正仿宋_GBK"/>
                <w:kern w:val="0"/>
                <w:sz w:val="24"/>
                <w:szCs w:val="24"/>
                <w:lang w:val="en-US" w:eastAsia="zh-CN" w:bidi="ar"/>
              </w:rPr>
              <w:t>号，邮编：</w:t>
            </w:r>
            <w:r>
              <w:rPr>
                <w:rFonts w:hint="default" w:ascii="Times New Roman" w:hAnsi="Times New Roman" w:cs="Times New Roman" w:eastAsiaTheme="minorEastAsia"/>
                <w:kern w:val="0"/>
                <w:sz w:val="24"/>
                <w:szCs w:val="24"/>
                <w:lang w:val="en-US" w:eastAsia="zh-CN" w:bidi="ar"/>
              </w:rPr>
              <w:t>530028</w:t>
            </w:r>
            <w:r>
              <w:rPr>
                <w:rFonts w:hint="default" w:ascii="方正仿宋_GBK" w:hAnsi="方正仿宋_GBK" w:eastAsia="方正仿宋_GBK" w:cs="方正仿宋_GBK"/>
                <w:kern w:val="0"/>
                <w:sz w:val="24"/>
                <w:szCs w:val="24"/>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sz w:val="24"/>
                <w:szCs w:val="24"/>
              </w:rPr>
            </w:pPr>
            <w:r>
              <w:rPr>
                <w:rFonts w:hint="default" w:ascii="方正楷体_GBK" w:hAnsi="方正楷体_GBK" w:eastAsia="方正楷体_GBK" w:cs="方正楷体_GBK"/>
                <w:kern w:val="0"/>
                <w:sz w:val="24"/>
                <w:szCs w:val="24"/>
                <w:lang w:val="en-US" w:eastAsia="zh-CN" w:bidi="ar"/>
              </w:rPr>
              <w:t>（二十三）行业企业资质和人员资格有效期可申请延后。</w:t>
            </w:r>
            <w:r>
              <w:rPr>
                <w:rFonts w:hint="default" w:ascii="方正仿宋_GBK" w:hAnsi="方正仿宋_GBK" w:eastAsia="方正仿宋_GBK" w:cs="方正仿宋_GBK"/>
                <w:kern w:val="0"/>
                <w:sz w:val="24"/>
                <w:szCs w:val="24"/>
                <w:lang w:val="en-US" w:eastAsia="zh-CN" w:bidi="ar"/>
              </w:rPr>
              <w:t>区内各级住房城乡建设主管部门审批的房地产开发、勘察、设计、施工、监理、造价咨询、质量检测等企业资质和有关人员资格，有效期于</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1</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20</w:t>
            </w:r>
            <w:r>
              <w:rPr>
                <w:rFonts w:hint="default" w:ascii="方正仿宋_GBK" w:hAnsi="方正仿宋_GBK" w:eastAsia="方正仿宋_GBK" w:cs="方正仿宋_GBK"/>
                <w:kern w:val="0"/>
                <w:sz w:val="24"/>
                <w:szCs w:val="24"/>
                <w:lang w:val="en-US" w:eastAsia="zh-CN" w:bidi="ar"/>
              </w:rPr>
              <w:t>日至</w:t>
            </w:r>
            <w:r>
              <w:rPr>
                <w:rFonts w:hint="default" w:ascii="Times New Roman" w:hAnsi="Times New Roman" w:cs="Times New Roman" w:eastAsiaTheme="minorEastAsia"/>
                <w:kern w:val="0"/>
                <w:sz w:val="24"/>
                <w:szCs w:val="24"/>
                <w:lang w:val="en-US" w:eastAsia="zh-CN" w:bidi="ar"/>
              </w:rPr>
              <w:t>9</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29</w:t>
            </w:r>
            <w:r>
              <w:rPr>
                <w:rFonts w:hint="default" w:ascii="方正仿宋_GBK" w:hAnsi="方正仿宋_GBK" w:eastAsia="方正仿宋_GBK" w:cs="方正仿宋_GBK"/>
                <w:kern w:val="0"/>
                <w:sz w:val="24"/>
                <w:szCs w:val="24"/>
                <w:lang w:val="en-US" w:eastAsia="zh-CN" w:bidi="ar"/>
              </w:rPr>
              <w:t>日期间届满的，企业可自愿申请延至</w:t>
            </w:r>
            <w:r>
              <w:rPr>
                <w:rFonts w:hint="default" w:ascii="Times New Roman" w:hAnsi="Times New Roman" w:cs="Times New Roman" w:eastAsiaTheme="minorEastAsia"/>
                <w:kern w:val="0"/>
                <w:sz w:val="24"/>
                <w:szCs w:val="24"/>
                <w:lang w:val="en-US" w:eastAsia="zh-CN" w:bidi="ar"/>
              </w:rPr>
              <w:t>2020</w:t>
            </w:r>
            <w:r>
              <w:rPr>
                <w:rFonts w:hint="default" w:ascii="方正仿宋_GBK" w:hAnsi="方正仿宋_GBK" w:eastAsia="方正仿宋_GBK" w:cs="方正仿宋_GBK"/>
                <w:kern w:val="0"/>
                <w:sz w:val="24"/>
                <w:szCs w:val="24"/>
                <w:lang w:val="en-US" w:eastAsia="zh-CN" w:bidi="ar"/>
              </w:rPr>
              <w:t>年</w:t>
            </w:r>
            <w:r>
              <w:rPr>
                <w:rFonts w:hint="default" w:ascii="Times New Roman" w:hAnsi="Times New Roman" w:cs="Times New Roman" w:eastAsiaTheme="minorEastAsia"/>
                <w:kern w:val="0"/>
                <w:sz w:val="24"/>
                <w:szCs w:val="24"/>
                <w:lang w:val="en-US" w:eastAsia="zh-CN" w:bidi="ar"/>
              </w:rPr>
              <w:t>9</w:t>
            </w:r>
            <w:r>
              <w:rPr>
                <w:rFonts w:hint="default" w:ascii="方正仿宋_GBK" w:hAnsi="方正仿宋_GBK" w:eastAsia="方正仿宋_GBK" w:cs="方正仿宋_GBK"/>
                <w:kern w:val="0"/>
                <w:sz w:val="24"/>
                <w:szCs w:val="24"/>
                <w:lang w:val="en-US" w:eastAsia="zh-CN" w:bidi="ar"/>
              </w:rPr>
              <w:t>月</w:t>
            </w:r>
            <w:r>
              <w:rPr>
                <w:rFonts w:hint="default" w:ascii="Times New Roman" w:hAnsi="Times New Roman" w:cs="Times New Roman" w:eastAsiaTheme="minorEastAsia"/>
                <w:kern w:val="0"/>
                <w:sz w:val="24"/>
                <w:szCs w:val="24"/>
                <w:lang w:val="en-US" w:eastAsia="zh-CN" w:bidi="ar"/>
              </w:rPr>
              <w:t>30</w:t>
            </w:r>
            <w:r>
              <w:rPr>
                <w:rFonts w:hint="default" w:ascii="方正仿宋_GBK" w:hAnsi="方正仿宋_GBK" w:eastAsia="方正仿宋_GBK" w:cs="方正仿宋_GBK"/>
                <w:kern w:val="0"/>
                <w:sz w:val="24"/>
                <w:szCs w:val="24"/>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left"/>
              <w:rPr>
                <w:sz w:val="24"/>
                <w:szCs w:val="24"/>
              </w:rPr>
            </w:pPr>
          </w:p>
        </w:tc>
      </w:tr>
    </w:tbl>
    <w:p>
      <w:pPr>
        <w:rPr>
          <w:vanish/>
          <w:sz w:val="24"/>
          <w:szCs w:val="24"/>
        </w:rPr>
      </w:pPr>
    </w:p>
    <w:tbl>
      <w:tblPr>
        <w:tblStyle w:val="4"/>
        <w:tblW w:w="4800" w:type="pct"/>
        <w:jc w:val="center"/>
        <w:tblCellSpacing w:w="0" w:type="dxa"/>
        <w:shd w:val="clear" w:color="auto" w:fill="auto"/>
        <w:tblLayout w:type="autofit"/>
        <w:tblCellMar>
          <w:top w:w="0" w:type="dxa"/>
          <w:left w:w="0" w:type="dxa"/>
          <w:bottom w:w="0" w:type="dxa"/>
          <w:right w:w="0" w:type="dxa"/>
        </w:tblCellMar>
      </w:tblPr>
      <w:tblGrid>
        <w:gridCol w:w="7974"/>
      </w:tblGrid>
      <w:tr>
        <w:tblPrEx>
          <w:shd w:val="clear" w:color="auto" w:fill="auto"/>
          <w:tblCellMar>
            <w:top w:w="0" w:type="dxa"/>
            <w:left w:w="0" w:type="dxa"/>
            <w:bottom w:w="0" w:type="dxa"/>
            <w:right w:w="0" w:type="dxa"/>
          </w:tblCellMar>
        </w:tblPrEx>
        <w:trPr>
          <w:tblCellSpacing w:w="0" w:type="dxa"/>
          <w:jc w:val="center"/>
        </w:trPr>
        <w:tc>
          <w:tcPr>
            <w:tcW w:w="0" w:type="auto"/>
            <w:shd w:val="clear" w:color="auto" w:fill="auto"/>
            <w:vAlign w:val="center"/>
          </w:tcPr>
          <w:p>
            <w:pPr>
              <w:keepNext w:val="0"/>
              <w:keepLines w:val="0"/>
              <w:widowControl/>
              <w:suppressLineNumbers w:val="0"/>
              <w:spacing w:before="0" w:beforeAutospacing="0" w:after="0" w:afterAutospacing="0"/>
              <w:ind w:left="0" w:right="0"/>
              <w:jc w:val="right"/>
            </w:pPr>
            <w:r>
              <w:rPr>
                <w:rFonts w:ascii="宋体" w:hAnsi="宋体" w:eastAsia="宋体" w:cs="宋体"/>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 w:hAnsi="����" w:eastAsia="����" w:cs="����"/>
          <w:b w:val="0"/>
          <w:i w:val="0"/>
          <w:caps w:val="0"/>
          <w:color w:val="000000"/>
          <w:spacing w:val="0"/>
          <w:sz w:val="22"/>
          <w:szCs w:val="22"/>
        </w:rPr>
      </w:pPr>
    </w:p>
    <w:tbl>
      <w:tblPr>
        <w:tblStyle w:val="4"/>
        <w:tblW w:w="4800" w:type="pct"/>
        <w:jc w:val="center"/>
        <w:tblCellSpacing w:w="0" w:type="dxa"/>
        <w:shd w:val="clear" w:color="auto" w:fill="auto"/>
        <w:tblLayout w:type="autofit"/>
        <w:tblCellMar>
          <w:top w:w="0" w:type="dxa"/>
          <w:left w:w="0" w:type="dxa"/>
          <w:bottom w:w="0" w:type="dxa"/>
          <w:right w:w="0" w:type="dxa"/>
        </w:tblCellMar>
      </w:tblPr>
      <w:tblGrid>
        <w:gridCol w:w="4224"/>
        <w:gridCol w:w="3750"/>
      </w:tblGrid>
      <w:tr>
        <w:tblPrEx>
          <w:shd w:val="clear" w:color="auto" w:fill="auto"/>
          <w:tblCellMar>
            <w:top w:w="0" w:type="dxa"/>
            <w:left w:w="0" w:type="dxa"/>
            <w:bottom w:w="0" w:type="dxa"/>
            <w:right w:w="0" w:type="dxa"/>
          </w:tblCellMar>
        </w:tblPrEx>
        <w:trPr>
          <w:tblCellSpacing w:w="0" w:type="dxa"/>
          <w:jc w:val="center"/>
        </w:trPr>
        <w:tc>
          <w:tcPr>
            <w:tcW w:w="0" w:type="auto"/>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right"/>
              <w:rPr>
                <w:sz w:val="19"/>
                <w:szCs w:val="19"/>
              </w:rPr>
            </w:pPr>
          </w:p>
        </w:tc>
        <w:tc>
          <w:tcPr>
            <w:tcW w:w="3750" w:type="dxa"/>
            <w:shd w:val="clear" w:color="auto" w:fill="auto"/>
            <w:vAlign w:val="center"/>
          </w:tcPr>
          <w:p>
            <w:pPr>
              <w:keepNext w:val="0"/>
              <w:keepLines w:val="0"/>
              <w:widowControl/>
              <w:suppressLineNumbers w:val="0"/>
              <w:spacing w:before="0" w:beforeAutospacing="0" w:after="0" w:afterAutospacing="0"/>
              <w:ind w:left="0" w:right="0"/>
              <w:jc w:val="right"/>
            </w:pPr>
          </w:p>
        </w:tc>
      </w:tr>
    </w:tbl>
    <w:p>
      <w:pPr>
        <w:keepNext w:val="0"/>
        <w:keepLines w:val="0"/>
        <w:widowControl/>
        <w:suppressLineNumbers w:val="0"/>
        <w:spacing w:before="0" w:beforeAutospacing="0" w:after="0" w:afterAutospacing="0"/>
        <w:ind w:left="0" w:right="0"/>
        <w:jc w:val="left"/>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182A67A2-101E-4DC8-B079-740925DFF4D7}"/>
  </w:font>
  <w:font w:name="����">
    <w:altName w:val="RomanS"/>
    <w:panose1 w:val="00000000000000000000"/>
    <w:charset w:val="00"/>
    <w:family w:val="auto"/>
    <w:pitch w:val="default"/>
    <w:sig w:usb0="00000000" w:usb1="00000000" w:usb2="00000000" w:usb3="00000000" w:csb0="00000000" w:csb1="00000000"/>
    <w:embedRegular r:id="rId2" w:fontKey="{98CC6484-A8CD-4CD2-A934-393A82D01FB3}"/>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embedRegular r:id="rId3" w:fontKey="{FE4EF973-8850-47BB-A7BC-E49639788E3B}"/>
  </w:font>
  <w:font w:name="方正小标宋_GBK">
    <w:panose1 w:val="02000000000000000000"/>
    <w:charset w:val="86"/>
    <w:family w:val="auto"/>
    <w:pitch w:val="default"/>
    <w:sig w:usb0="A00002BF" w:usb1="38CF7CFA" w:usb2="00082016" w:usb3="00000000" w:csb0="00040001" w:csb1="00000000"/>
    <w:embedRegular r:id="rId4" w:fontKey="{4F4FCDF5-6859-4592-9D40-9A7C93DC0DAC}"/>
  </w:font>
  <w:font w:name="方正黑体_GBK">
    <w:altName w:val="微软雅黑"/>
    <w:panose1 w:val="00000000000000000000"/>
    <w:charset w:val="00"/>
    <w:family w:val="auto"/>
    <w:pitch w:val="default"/>
    <w:sig w:usb0="00000000" w:usb1="00000000" w:usb2="00000000" w:usb3="00000000" w:csb0="00000000" w:csb1="00000000"/>
    <w:embedRegular r:id="rId5" w:fontKey="{D9B4E447-036B-45DB-8DE8-75B1A14E2BF9}"/>
  </w:font>
  <w:font w:name="方正楷体_GBK">
    <w:altName w:val="微软雅黑"/>
    <w:panose1 w:val="00000000000000000000"/>
    <w:charset w:val="00"/>
    <w:family w:val="auto"/>
    <w:pitch w:val="default"/>
    <w:sig w:usb0="00000000" w:usb1="00000000" w:usb2="00000000" w:usb3="00000000" w:csb0="00000000" w:csb1="00000000"/>
    <w:embedRegular r:id="rId6" w:fontKey="{A982D767-5A6C-4F7A-A33F-215756528577}"/>
  </w:font>
  <w:font w:name="RomanS">
    <w:panose1 w:val="02000400000000000000"/>
    <w:charset w:val="00"/>
    <w:family w:val="auto"/>
    <w:pitch w:val="default"/>
    <w:sig w:usb0="00000207" w:usb1="00000000" w:usb2="00000000"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36952"/>
    <w:rsid w:val="1E3F566D"/>
    <w:rsid w:val="46036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_Style 5"/>
    <w:basedOn w:val="1"/>
    <w:next w:val="1"/>
    <w:qFormat/>
    <w:uiPriority w:val="0"/>
    <w:pPr>
      <w:pBdr>
        <w:bottom w:val="single" w:color="auto" w:sz="6" w:space="1"/>
      </w:pBdr>
      <w:jc w:val="center"/>
    </w:pPr>
    <w:rPr>
      <w:rFonts w:ascii="Arial" w:eastAsia="宋体"/>
      <w:vanish/>
      <w:sz w:val="16"/>
    </w:rPr>
  </w:style>
  <w:style w:type="paragraph" w:customStyle="1" w:styleId="9">
    <w:name w:val="_Style 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2020-02-27T01:59:00Z</dcterms:created>
  <dc:creator>王穗</dc:creator>
  <cp:lastModifiedBy>王穗</cp:lastModifiedBy>
  <cp:lastPrinted>2020-02-27T03:02:25Z</cp:lastPrinted>
  <dcterms:modified xsi:type="dcterms:W3CDTF">2020-02-27T03:04:47Z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